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8A" w:rsidRDefault="00DC258A" w:rsidP="00DC258A">
      <w:pPr>
        <w:tabs>
          <w:tab w:val="left" w:pos="0"/>
        </w:tabs>
        <w:spacing w:after="0" w:line="240" w:lineRule="auto"/>
        <w:jc w:val="center"/>
        <w:rPr>
          <w:rFonts w:ascii="Times New Roman" w:eastAsia="Times New Roman" w:hAnsi="Times New Roman"/>
          <w:b/>
          <w:sz w:val="28"/>
          <w:szCs w:val="28"/>
          <w:lang w:eastAsia="ru-RU"/>
        </w:rPr>
      </w:pPr>
      <w:bookmarkStart w:id="0" w:name="_GoBack"/>
      <w:r>
        <w:rPr>
          <w:rFonts w:ascii="Times New Roman" w:eastAsia="Times New Roman" w:hAnsi="Times New Roman"/>
          <w:b/>
          <w:sz w:val="28"/>
          <w:szCs w:val="28"/>
          <w:lang w:eastAsia="ru-RU"/>
        </w:rPr>
        <w:t>Организация профилактической</w:t>
      </w:r>
      <w:bookmarkEnd w:id="0"/>
      <w:r>
        <w:rPr>
          <w:rFonts w:ascii="Times New Roman" w:eastAsia="Times New Roman" w:hAnsi="Times New Roman"/>
          <w:b/>
          <w:sz w:val="28"/>
          <w:szCs w:val="28"/>
          <w:lang w:eastAsia="ru-RU"/>
        </w:rPr>
        <w:t xml:space="preserve">  деятельности комиссии по делам несовершеннолетних и защите их прав с детьми и семьями, находящимися в социально опасном положении</w:t>
      </w:r>
    </w:p>
    <w:p w:rsidR="00DC258A" w:rsidRDefault="00DC258A" w:rsidP="00DC258A">
      <w:pPr>
        <w:tabs>
          <w:tab w:val="left" w:pos="0"/>
        </w:tabs>
        <w:spacing w:after="0" w:line="240" w:lineRule="auto"/>
        <w:jc w:val="center"/>
        <w:rPr>
          <w:rFonts w:ascii="Times New Roman" w:eastAsia="Times New Roman" w:hAnsi="Times New Roman"/>
          <w:b/>
          <w:sz w:val="28"/>
          <w:szCs w:val="28"/>
          <w:lang w:eastAsia="ru-RU"/>
        </w:rPr>
      </w:pP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roofErr w:type="gramStart"/>
      <w:r>
        <w:rPr>
          <w:rFonts w:ascii="Times New Roman" w:eastAsia="Times New Roman" w:hAnsi="Times New Roman"/>
          <w:sz w:val="28"/>
          <w:szCs w:val="28"/>
          <w:lang w:eastAsia="ru-RU"/>
        </w:rPr>
        <w:t>В муниципальном образовании Темрюкский район индивидуальная профилактическая работа с несовершеннолетними и семьями, находящимися в социально опасном положении, организована в соответствии с постановлением главы администрации (губернатора) Краснодарского края от 4 апреля 2008 года № 258 «Об утверждении Положения о порядке взаимодействия органов и учреждений системы профилактики безнадзорности и правонарушений несовершеннолетних в области организации индивидуальной профилактической работы в отношении несовершеннолетних и семей, находящихся</w:t>
      </w:r>
      <w:proofErr w:type="gramEnd"/>
      <w:r>
        <w:rPr>
          <w:rFonts w:ascii="Times New Roman" w:eastAsia="Times New Roman" w:hAnsi="Times New Roman"/>
          <w:sz w:val="28"/>
          <w:szCs w:val="28"/>
          <w:lang w:eastAsia="ru-RU"/>
        </w:rPr>
        <w:t xml:space="preserve"> в социально опасном положении».</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По состоянию </w:t>
      </w:r>
      <w:r>
        <w:rPr>
          <w:rFonts w:ascii="Times New Roman" w:eastAsia="Times New Roman" w:hAnsi="Times New Roman"/>
          <w:i/>
          <w:sz w:val="28"/>
          <w:szCs w:val="28"/>
          <w:lang w:eastAsia="ru-RU"/>
        </w:rPr>
        <w:t>на 1 января 2014 года</w:t>
      </w:r>
      <w:r>
        <w:rPr>
          <w:rFonts w:ascii="Times New Roman" w:eastAsia="Times New Roman" w:hAnsi="Times New Roman"/>
          <w:sz w:val="28"/>
          <w:szCs w:val="28"/>
          <w:lang w:eastAsia="ru-RU"/>
        </w:rPr>
        <w:t xml:space="preserve">  на учёте в Комиссии  состояло </w:t>
      </w:r>
      <w:r>
        <w:rPr>
          <w:rFonts w:ascii="Times New Roman" w:eastAsia="Times New Roman" w:hAnsi="Times New Roman"/>
          <w:b/>
          <w:sz w:val="28"/>
          <w:szCs w:val="28"/>
          <w:lang w:eastAsia="ru-RU"/>
        </w:rPr>
        <w:t xml:space="preserve">42 </w:t>
      </w:r>
      <w:r>
        <w:rPr>
          <w:rFonts w:ascii="Times New Roman" w:eastAsia="Times New Roman" w:hAnsi="Times New Roman"/>
          <w:sz w:val="28"/>
          <w:szCs w:val="28"/>
          <w:lang w:eastAsia="ru-RU"/>
        </w:rPr>
        <w:t xml:space="preserve">несовершеннолетний и </w:t>
      </w:r>
      <w:r>
        <w:rPr>
          <w:rFonts w:ascii="Times New Roman" w:eastAsia="Times New Roman" w:hAnsi="Times New Roman"/>
          <w:b/>
          <w:sz w:val="28"/>
          <w:szCs w:val="28"/>
          <w:lang w:eastAsia="ru-RU"/>
        </w:rPr>
        <w:t>19</w:t>
      </w:r>
      <w:r>
        <w:rPr>
          <w:rFonts w:ascii="Times New Roman" w:eastAsia="Times New Roman" w:hAnsi="Times New Roman"/>
          <w:sz w:val="28"/>
          <w:szCs w:val="28"/>
          <w:lang w:eastAsia="ru-RU"/>
        </w:rPr>
        <w:t xml:space="preserve"> семей категории социально опасного положения, в которых воспитывается </w:t>
      </w:r>
      <w:r>
        <w:rPr>
          <w:rFonts w:ascii="Times New Roman" w:eastAsia="Times New Roman" w:hAnsi="Times New Roman"/>
          <w:b/>
          <w:sz w:val="28"/>
          <w:szCs w:val="28"/>
          <w:lang w:eastAsia="ru-RU"/>
        </w:rPr>
        <w:t>45</w:t>
      </w:r>
      <w:r>
        <w:rPr>
          <w:rFonts w:ascii="Times New Roman" w:eastAsia="Times New Roman" w:hAnsi="Times New Roman"/>
          <w:sz w:val="28"/>
          <w:szCs w:val="28"/>
          <w:lang w:eastAsia="ru-RU"/>
        </w:rPr>
        <w:t xml:space="preserve">  детей.</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За отчетный период текущего года </w:t>
      </w:r>
      <w:r>
        <w:rPr>
          <w:rFonts w:ascii="Times New Roman" w:eastAsia="Times New Roman" w:hAnsi="Times New Roman"/>
          <w:b/>
          <w:sz w:val="28"/>
          <w:szCs w:val="28"/>
          <w:lang w:eastAsia="ru-RU"/>
        </w:rPr>
        <w:t xml:space="preserve">снято </w:t>
      </w:r>
      <w:r>
        <w:rPr>
          <w:rFonts w:ascii="Times New Roman" w:eastAsia="Times New Roman" w:hAnsi="Times New Roman"/>
          <w:sz w:val="28"/>
          <w:szCs w:val="28"/>
          <w:lang w:eastAsia="ru-RU"/>
        </w:rPr>
        <w:t>с профилактического учета:</w:t>
      </w:r>
    </w:p>
    <w:p w:rsidR="00DC258A" w:rsidRDefault="00DC258A" w:rsidP="00DC258A">
      <w:pPr>
        <w:numPr>
          <w:ilvl w:val="0"/>
          <w:numId w:val="1"/>
        </w:num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60 подростков, из них 52  по исправлению, что на 37 подростков больше аналогичного периода прошлого года.</w:t>
      </w:r>
    </w:p>
    <w:p w:rsidR="00DC258A" w:rsidRDefault="00DC258A" w:rsidP="00DC258A">
      <w:pPr>
        <w:numPr>
          <w:ilvl w:val="0"/>
          <w:numId w:val="1"/>
        </w:num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семей, из них 6 семей – по исправлению (семеро родителей).</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 состоянию </w:t>
      </w:r>
      <w:r>
        <w:rPr>
          <w:rFonts w:ascii="Times New Roman" w:eastAsia="Times New Roman" w:hAnsi="Times New Roman"/>
          <w:i/>
          <w:sz w:val="28"/>
          <w:szCs w:val="28"/>
          <w:lang w:eastAsia="ru-RU"/>
        </w:rPr>
        <w:t>на 1 января 2015 года</w:t>
      </w:r>
      <w:r>
        <w:rPr>
          <w:rFonts w:ascii="Times New Roman" w:eastAsia="Times New Roman" w:hAnsi="Times New Roman"/>
          <w:sz w:val="28"/>
          <w:szCs w:val="28"/>
          <w:lang w:eastAsia="ru-RU"/>
        </w:rPr>
        <w:t xml:space="preserve"> на учёте в Комиссии  состоит </w:t>
      </w:r>
      <w:r>
        <w:rPr>
          <w:rFonts w:ascii="Times New Roman" w:eastAsia="Times New Roman" w:hAnsi="Times New Roman"/>
          <w:b/>
          <w:sz w:val="28"/>
          <w:szCs w:val="28"/>
          <w:lang w:eastAsia="ru-RU"/>
        </w:rPr>
        <w:t xml:space="preserve">32 </w:t>
      </w:r>
      <w:r>
        <w:rPr>
          <w:rFonts w:ascii="Times New Roman" w:eastAsia="Times New Roman" w:hAnsi="Times New Roman"/>
          <w:sz w:val="28"/>
          <w:szCs w:val="28"/>
          <w:lang w:eastAsia="ru-RU"/>
        </w:rPr>
        <w:t xml:space="preserve">несовершеннолетний и </w:t>
      </w:r>
      <w:r>
        <w:rPr>
          <w:rFonts w:ascii="Times New Roman" w:eastAsia="Times New Roman" w:hAnsi="Times New Roman"/>
          <w:b/>
          <w:sz w:val="28"/>
          <w:szCs w:val="28"/>
          <w:lang w:eastAsia="ru-RU"/>
        </w:rPr>
        <w:t>23</w:t>
      </w:r>
      <w:r>
        <w:rPr>
          <w:rFonts w:ascii="Times New Roman" w:eastAsia="Times New Roman" w:hAnsi="Times New Roman"/>
          <w:sz w:val="28"/>
          <w:szCs w:val="28"/>
          <w:lang w:eastAsia="ru-RU"/>
        </w:rPr>
        <w:t xml:space="preserve"> семьи категории социально опасного положения, в которых воспитывается </w:t>
      </w:r>
      <w:r>
        <w:rPr>
          <w:rFonts w:ascii="Times New Roman" w:eastAsia="Times New Roman" w:hAnsi="Times New Roman"/>
          <w:b/>
          <w:sz w:val="28"/>
          <w:szCs w:val="28"/>
          <w:lang w:eastAsia="ru-RU"/>
        </w:rPr>
        <w:t>50</w:t>
      </w:r>
      <w:r>
        <w:rPr>
          <w:rFonts w:ascii="Times New Roman" w:eastAsia="Times New Roman" w:hAnsi="Times New Roman"/>
          <w:sz w:val="28"/>
          <w:szCs w:val="28"/>
          <w:lang w:eastAsia="ru-RU"/>
        </w:rPr>
        <w:t xml:space="preserve">  детей.</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каждого подростка и каждую семью, находящуюся в социально опасном положении, ответственным органом разрабатывается комплексный межведомственный план индивидуальной профилактической работы.  Результативность выполнения мероприятий плана рассматривается на заседании комиссии. </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Анализ динамики постановки на учет  и снятия с учета в Комиссию несовершеннолетних и семей показывает, что  наметилась тенденция к снижению количества несовершеннолетних категории СОП, но увеличилось количество семей категории СОП.   Вместе с тем  увеличилось количество  несовершеннолетних и семей, снятых с учета по исправлению, что говорит об  улучшении работы служб системы профилактики по выполнению планов индивидуальной профилактической работы.   Однако  перед Комиссией остается актуальной задача усиления контроля над ходом исполнения комплексных межведомственных планов  индивидуальной профилактической работы с семьями и несовершеннолетними категории социально опасного положения.</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p>
    <w:p w:rsidR="00DC258A" w:rsidRDefault="00DC258A" w:rsidP="00DC258A">
      <w:pPr>
        <w:tabs>
          <w:tab w:val="left" w:pos="0"/>
        </w:tabs>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Сравнительный анализ состоящих на учете несовершеннолетних и семей категории социально опасного положения</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2260"/>
        <w:gridCol w:w="2119"/>
        <w:gridCol w:w="2120"/>
      </w:tblGrid>
      <w:tr w:rsidR="00DC258A" w:rsidTr="00DC258A">
        <w:tc>
          <w:tcPr>
            <w:tcW w:w="3085"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состоянию на 01 .01.2014</w:t>
            </w:r>
          </w:p>
        </w:tc>
        <w:tc>
          <w:tcPr>
            <w:tcW w:w="2126"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состоянию на 01.01.2015</w:t>
            </w:r>
          </w:p>
        </w:tc>
        <w:tc>
          <w:tcPr>
            <w:tcW w:w="2127"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Динамика  в сравнении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w:t>
            </w:r>
          </w:p>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АППГ </w:t>
            </w:r>
          </w:p>
        </w:tc>
      </w:tr>
      <w:tr w:rsidR="00DC258A" w:rsidTr="00DC258A">
        <w:tc>
          <w:tcPr>
            <w:tcW w:w="3085"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Н/л</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состоящих</w:t>
            </w:r>
            <w:proofErr w:type="gramEnd"/>
            <w:r>
              <w:rPr>
                <w:rFonts w:ascii="Times New Roman" w:eastAsia="Times New Roman" w:hAnsi="Times New Roman"/>
                <w:sz w:val="24"/>
                <w:szCs w:val="24"/>
                <w:lang w:eastAsia="ru-RU"/>
              </w:rPr>
              <w:t xml:space="preserve"> на учете в </w:t>
            </w:r>
            <w:proofErr w:type="spellStart"/>
            <w:r>
              <w:rPr>
                <w:rFonts w:ascii="Times New Roman" w:eastAsia="Times New Roman" w:hAnsi="Times New Roman"/>
                <w:sz w:val="24"/>
                <w:szCs w:val="24"/>
                <w:lang w:eastAsia="ru-RU"/>
              </w:rPr>
              <w:t>КДНиЗП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2126"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2127"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- 10</w:t>
            </w:r>
          </w:p>
        </w:tc>
      </w:tr>
      <w:tr w:rsidR="00DC258A" w:rsidTr="00DC258A">
        <w:tc>
          <w:tcPr>
            <w:tcW w:w="3085"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снято</w:t>
            </w:r>
            <w:r>
              <w:rPr>
                <w:rFonts w:ascii="Times New Roman" w:eastAsia="Times New Roman" w:hAnsi="Times New Roman"/>
                <w:sz w:val="24"/>
                <w:szCs w:val="24"/>
                <w:lang w:eastAsia="ru-RU"/>
              </w:rPr>
              <w:t xml:space="preserve"> </w:t>
            </w:r>
          </w:p>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отчетный период:</w:t>
            </w:r>
          </w:p>
        </w:tc>
        <w:tc>
          <w:tcPr>
            <w:tcW w:w="2268"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2126"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2127"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DC258A" w:rsidTr="00DC258A">
        <w:tc>
          <w:tcPr>
            <w:tcW w:w="3085"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 них, </w:t>
            </w:r>
          </w:p>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исправлению</w:t>
            </w:r>
          </w:p>
        </w:tc>
        <w:tc>
          <w:tcPr>
            <w:tcW w:w="2268"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126"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2127"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r>
      <w:tr w:rsidR="00DC258A" w:rsidTr="00DC258A">
        <w:tc>
          <w:tcPr>
            <w:tcW w:w="3085"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Семей,</w:t>
            </w:r>
            <w:r>
              <w:rPr>
                <w:rFonts w:ascii="Times New Roman" w:eastAsia="Times New Roman" w:hAnsi="Times New Roman"/>
                <w:sz w:val="24"/>
                <w:szCs w:val="24"/>
                <w:lang w:eastAsia="ru-RU"/>
              </w:rPr>
              <w:t xml:space="preserve"> состоящих на учете в </w:t>
            </w:r>
            <w:proofErr w:type="spellStart"/>
            <w:r>
              <w:rPr>
                <w:rFonts w:ascii="Times New Roman" w:eastAsia="Times New Roman" w:hAnsi="Times New Roman"/>
                <w:sz w:val="24"/>
                <w:szCs w:val="24"/>
                <w:lang w:eastAsia="ru-RU"/>
              </w:rPr>
              <w:t>КДНиЗП</w:t>
            </w:r>
            <w:proofErr w:type="spellEnd"/>
            <w:r>
              <w:rPr>
                <w:rFonts w:ascii="Times New Roman" w:eastAsia="Times New Roman" w:hAnsi="Times New Roman"/>
                <w:sz w:val="24"/>
                <w:szCs w:val="24"/>
                <w:lang w:eastAsia="ru-RU"/>
              </w:rPr>
              <w:t>.</w:t>
            </w:r>
          </w:p>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w:t>
            </w:r>
          </w:p>
        </w:tc>
        <w:tc>
          <w:tcPr>
            <w:tcW w:w="2268"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126"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2127"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DC258A" w:rsidTr="00DC258A">
        <w:tc>
          <w:tcPr>
            <w:tcW w:w="3085"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снято</w:t>
            </w:r>
            <w:r>
              <w:rPr>
                <w:rFonts w:ascii="Times New Roman" w:eastAsia="Times New Roman" w:hAnsi="Times New Roman"/>
                <w:sz w:val="24"/>
                <w:szCs w:val="24"/>
                <w:lang w:eastAsia="ru-RU"/>
              </w:rPr>
              <w:t xml:space="preserve"> за отчетный период </w:t>
            </w:r>
          </w:p>
        </w:tc>
        <w:tc>
          <w:tcPr>
            <w:tcW w:w="2268"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126"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127"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DC258A" w:rsidTr="00DC258A">
        <w:tc>
          <w:tcPr>
            <w:tcW w:w="3085"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поставлено </w:t>
            </w:r>
            <w:r>
              <w:rPr>
                <w:rFonts w:ascii="Times New Roman" w:eastAsia="Times New Roman" w:hAnsi="Times New Roman"/>
                <w:sz w:val="24"/>
                <w:szCs w:val="24"/>
                <w:lang w:eastAsia="ru-RU"/>
              </w:rPr>
              <w:t xml:space="preserve">за отчетный период </w:t>
            </w:r>
          </w:p>
        </w:tc>
        <w:tc>
          <w:tcPr>
            <w:tcW w:w="2268"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127" w:type="dxa"/>
            <w:tcBorders>
              <w:top w:val="single" w:sz="4" w:space="0" w:color="auto"/>
              <w:left w:val="single" w:sz="4" w:space="0" w:color="auto"/>
              <w:bottom w:val="single" w:sz="4" w:space="0" w:color="auto"/>
              <w:right w:val="single" w:sz="4" w:space="0" w:color="auto"/>
            </w:tcBorders>
            <w:hideMark/>
          </w:tcPr>
          <w:p w:rsidR="00DC258A" w:rsidRDefault="00DC258A">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bl>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Семьям и детям, находящимся в социально опасном положении и трудной жизненной ситуации, оказывается помощь по краевым целевым программам «Дети Кубани», «Цветик-</w:t>
      </w:r>
      <w:proofErr w:type="spellStart"/>
      <w:r>
        <w:rPr>
          <w:rFonts w:ascii="Times New Roman" w:eastAsia="Times New Roman" w:hAnsi="Times New Roman"/>
          <w:sz w:val="28"/>
          <w:szCs w:val="28"/>
          <w:lang w:eastAsia="ru-RU"/>
        </w:rPr>
        <w:t>семицветик</w:t>
      </w:r>
      <w:proofErr w:type="spellEnd"/>
      <w:r>
        <w:rPr>
          <w:rFonts w:ascii="Times New Roman" w:eastAsia="Times New Roman" w:hAnsi="Times New Roman"/>
          <w:sz w:val="28"/>
          <w:szCs w:val="28"/>
          <w:lang w:eastAsia="ru-RU"/>
        </w:rPr>
        <w:t>», «Вместе поможем детям», а также по благотворительной акции «Вторые руки».</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Занятость подростков – это один из фактов, влияющий на профилактику безнадзорности и правонарушений несовершеннолетних.</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Несовершеннолетние, состоящие на учете в Комиссии по делам несовершеннолетних и защите их прав, участвуют  в краевых  и муниципальных мероприятиях профилактической направленности. Наиболее значимые мероприятия  2014 года:   </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14 мая 2014 года   Комиссией совместно с Центром занятости была проведена </w:t>
      </w:r>
      <w:proofErr w:type="spellStart"/>
      <w:r>
        <w:rPr>
          <w:rFonts w:ascii="Times New Roman" w:eastAsia="Times New Roman" w:hAnsi="Times New Roman"/>
          <w:sz w:val="28"/>
          <w:szCs w:val="28"/>
          <w:lang w:eastAsia="ru-RU"/>
        </w:rPr>
        <w:t>профориентационная</w:t>
      </w:r>
      <w:proofErr w:type="spellEnd"/>
      <w:r>
        <w:rPr>
          <w:rFonts w:ascii="Times New Roman" w:eastAsia="Times New Roman" w:hAnsi="Times New Roman"/>
          <w:sz w:val="28"/>
          <w:szCs w:val="28"/>
          <w:lang w:eastAsia="ru-RU"/>
        </w:rPr>
        <w:t xml:space="preserve"> акция «Выбери будущее сегодня» для подростков, состоящих на профилактических учетах. В данной акции приняли участие более 60 подростков, учащихся школ района и ПУ № 65.</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апреле был проведен муниципальный этап краевого конкурса «Я выбираю ответственность», в котором приняли участие 56 несовершеннолетних, пять лучших работ были направлены комиссией  для участия в краевом этапе конкурса. Трое подростков стали дипломантами краевого конкурса.</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30 июня 2014 года муниципальная команда из Темрюкского района подростков, состоящих на профилактических учетах, приняла участие в краевом фестивале «Кубанские каникулы» в г. Краснодаре.</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Осенью 2014 года в районе  прошел муниципальный этап краевого творческого конкурса «Здравствуй, мама!», в нем приняли участие  27 работ.  Лучшие работы участвовали в краевом этапе конкурса (4 участника стали дипломатами краевого конкурса).</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 xml:space="preserve"> В краевом конкурсе социальных инициатив приняли участие 9 подростков, состоящих на ведомственных учетах.  Стойко Евгения заняла первое место в краевом этапе конкурса (номинация «Надежное сердце») и еще один подросток  стал дипломантом этого конкурса. </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Кроме того, несовершеннолетние категории социально опасного положения активно участвуют в культурно-массовых мероприятиях в поселениях, а также районного уровня.  Все несовершеннолетние, состоящие на профилактическом учете и не имеющие медицинских противопоказаний, заняты дополнительным образованием.</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Перед началом летних каникул все службы системы профилактики разработали индивидуальные планы занятости подростков категории СОП  в летний период. </w:t>
      </w:r>
    </w:p>
    <w:p w:rsidR="00DC258A" w:rsidRDefault="00DC258A" w:rsidP="00DC258A">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период летних каникул в рамках программы временной занятости несовершеннолетних граждан   в период летней оздоровительной кампании было трудоустроено 802 подростка, из них 41 состоящих на всех видах профилактических учетов (18 – категории СОП). Несовершеннолетние подростки в летний период работали в учреждениях образования – подсобными рабочими в школьных бригадах, в учреждения ЖКХ – озеленителями, на детских дворовых площадках – помощниками специалистов по работе с молодежью.  Иные формы занятости проходили в виде мероприятий, проводимых в клубах при домах культуры, спортивных секциях, проведение акций,  организовывалась занятость несовершеннолетних в кружках при отделе профилактики семейного неблагополучия. </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Весь летний период специалистами учреждений образования, учреждений культуры, отдела по делам молодежи проводились различные массовые мероприятия, фестивали, соревнования, в который принимали активное участие дети и подростки категории социально опасного положения.</w:t>
      </w:r>
      <w:proofErr w:type="gramEnd"/>
    </w:p>
    <w:p w:rsidR="00DC258A" w:rsidRDefault="00DC258A" w:rsidP="00DC258A">
      <w:pPr>
        <w:tabs>
          <w:tab w:val="left" w:pos="0"/>
        </w:tabs>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Согласно распоряжению администрации муниципального образования Темрюкский район от 20 мая 2014 года № 389-р «Об организации профилактической работы с детьми и семьями, находящимися в социально опасном положении, в период летней оздоровительной кампании 2014 года»,  все службы системы профилактики разработали и утвердили графики посещения семей, находящихся в трудной жизненной ситуации и социально опасном положении, и несовершеннолетних, состоящих на профилактических учетах, на период</w:t>
      </w:r>
      <w:proofErr w:type="gramEnd"/>
      <w:r>
        <w:rPr>
          <w:rFonts w:ascii="Times New Roman" w:eastAsia="Times New Roman" w:hAnsi="Times New Roman"/>
          <w:sz w:val="28"/>
          <w:szCs w:val="28"/>
          <w:lang w:eastAsia="ru-RU"/>
        </w:rPr>
        <w:t xml:space="preserve"> летних каникул. В соответствии с составленными графиками организован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воспитанием, содержанием и обращением с детьми по месту их жительства. </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Кроме того, с целью профилактики чрезвычайных происшествий с детьми во время зимних, весенних и осенних каникул, а так же в период майских праздников, было организовано  посещение  семей и несовершеннолетних, состоящих на всех видах профилактического учета (многих – неоднократно).</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Самыми массовыми формами занятости несовершеннолетних, находящихся в социально опасном положении,  в Темрюкском районе  в 2014 году были: занятость в клубах по месту жительства (72 %), посещение дворовых площадок (67 %), участие в экспедициях, экскурсиях, поездках (32 %), а также участие в турпоходах (63 %).    Различными формами занятости  за весь летний период были заняты  100% подростков, состоящих на учете в муниципальной комиссии.</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Как результат совместной работы служб и учреждений системы профилактики, направленный на организацию полезной занятости детей и подростков категории социально опасного положения, можно назвать тот факт, что в период летних каникул в Темрюкском районе данной категорией несовершеннолетних не было совершено преступлений, а так же общественно-опасных деяний.</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Andale Sans UI" w:hAnsi="Times New Roman" w:cs="Tahoma"/>
          <w:kern w:val="3"/>
          <w:sz w:val="28"/>
          <w:szCs w:val="28"/>
          <w:lang w:eastAsia="ja-JP" w:bidi="fa-IR"/>
        </w:rPr>
        <w:t xml:space="preserve">В декабре 2014 года в целях реализации  постановления </w:t>
      </w:r>
      <w:r>
        <w:rPr>
          <w:rFonts w:ascii="Times New Roman" w:eastAsia="Times New Roman" w:hAnsi="Times New Roman"/>
          <w:sz w:val="28"/>
          <w:szCs w:val="28"/>
          <w:lang w:eastAsia="ru-RU"/>
        </w:rPr>
        <w:t xml:space="preserve">комиссии по делам      несовершеннолетних    и     защите      их   прав   при     администрации </w:t>
      </w:r>
    </w:p>
    <w:p w:rsidR="00DC258A" w:rsidRDefault="00DC258A" w:rsidP="00DC258A">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Краснодарского края от 26 ноября 2014 года № 4/1 «О принятии дополнительных мер по обеспечению безопасности отдельных категорий семей, имеющих несовершеннолетних детей» в Темрюкском районе </w:t>
      </w:r>
      <w:r>
        <w:rPr>
          <w:rFonts w:ascii="Times New Roman" w:eastAsia="Andale Sans UI" w:hAnsi="Times New Roman" w:cs="Tahoma"/>
          <w:kern w:val="3"/>
          <w:sz w:val="28"/>
          <w:szCs w:val="28"/>
          <w:lang w:eastAsia="ja-JP" w:bidi="fa-IR"/>
        </w:rPr>
        <w:t xml:space="preserve">была организована  работа по посещению отдельных категорий семей на территории Темрюкского района  межведомственными рабочими группами. </w:t>
      </w:r>
      <w:r>
        <w:rPr>
          <w:rFonts w:ascii="Times New Roman" w:eastAsia="Times New Roman" w:hAnsi="Times New Roman"/>
          <w:sz w:val="28"/>
          <w:szCs w:val="28"/>
          <w:lang w:eastAsia="ru-RU"/>
        </w:rPr>
        <w:t xml:space="preserve">По результатам проведенной работы посещены все семьи, входящие в единый список семей. </w:t>
      </w:r>
    </w:p>
    <w:p w:rsidR="00AB7C98" w:rsidRDefault="00DC258A" w:rsidP="00DC258A">
      <w:r>
        <w:rPr>
          <w:rFonts w:ascii="Times New Roman" w:eastAsia="Times New Roman" w:hAnsi="Times New Roman"/>
          <w:sz w:val="28"/>
          <w:szCs w:val="28"/>
          <w:lang w:eastAsia="ru-RU"/>
        </w:rPr>
        <w:tab/>
        <w:t xml:space="preserve">В ходе проведения данных мероприятий выявлены  нарушения требований пожарной безопасности при эксплуатации печного отопления и электрического оборудования в 25 семьях (всего 31 нарушение пожарной безопасности).   В некоторых случаях (незначительных), после проведенного инструктажа и разъяснительной работы недостатки устранялись незамедлительно. В более серьезных случаях для оказания помощи семьям в устранении  выявленных недостатков была организована помощь администраций поселений, а так же привлечение спонсоров. Кроме того, многим семьям  предложена адресная помощь по устранению выявленных нарушений (приобретены и установлены </w:t>
      </w:r>
      <w:proofErr w:type="spellStart"/>
      <w:r>
        <w:rPr>
          <w:rFonts w:ascii="Times New Roman" w:eastAsia="Times New Roman" w:hAnsi="Times New Roman"/>
          <w:sz w:val="28"/>
          <w:szCs w:val="28"/>
          <w:lang w:eastAsia="ru-RU"/>
        </w:rPr>
        <w:t>предтопочные</w:t>
      </w:r>
      <w:proofErr w:type="spellEnd"/>
      <w:r>
        <w:rPr>
          <w:rFonts w:ascii="Times New Roman" w:eastAsia="Times New Roman" w:hAnsi="Times New Roman"/>
          <w:sz w:val="28"/>
          <w:szCs w:val="28"/>
          <w:lang w:eastAsia="ru-RU"/>
        </w:rPr>
        <w:t xml:space="preserve"> листы из негорючего материала, оказана помощь в ремонте электропроводки).</w:t>
      </w:r>
    </w:p>
    <w:sectPr w:rsidR="00AB7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E040B"/>
    <w:multiLevelType w:val="hybridMultilevel"/>
    <w:tmpl w:val="7F344B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D4"/>
    <w:rsid w:val="006552D4"/>
    <w:rsid w:val="00AB7C98"/>
    <w:rsid w:val="00DC2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Steshenko Vyacheslav Anatolyevich</dc:creator>
  <cp:keywords/>
  <dc:description/>
  <cp:lastModifiedBy>Steshenko Vyacheslav Anatolyevich</cp:lastModifiedBy>
  <cp:revision>2</cp:revision>
  <dcterms:created xsi:type="dcterms:W3CDTF">2015-03-12T05:23:00Z</dcterms:created>
  <dcterms:modified xsi:type="dcterms:W3CDTF">2015-03-12T05:24:00Z</dcterms:modified>
</cp:coreProperties>
</file>