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31D79">
        <w:rPr>
          <w:b/>
          <w:bCs/>
          <w:szCs w:val="28"/>
        </w:rPr>
        <w:t>266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31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E31D7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3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E31D7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</w:t>
            </w:r>
            <w:r w:rsidR="00E31D79">
              <w:rPr>
                <w:rFonts w:ascii="Times New Roman" w:hAnsi="Times New Roman"/>
                <w:sz w:val="28"/>
                <w:szCs w:val="28"/>
              </w:rPr>
              <w:t>ул. Лермонтова, 11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E31D79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8022E2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бахчевые культуры, плодоовощная продукция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E31D79" w:rsidP="00E31D7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</w:t>
            </w:r>
            <w:r w:rsidR="008022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8022E2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31D79">
        <w:rPr>
          <w:rFonts w:ascii="Times New Roman" w:eastAsia="Times New Roman" w:hAnsi="Times New Roman" w:cs="Times New Roman"/>
          <w:color w:val="000000"/>
          <w:sz w:val="28"/>
          <w:szCs w:val="28"/>
        </w:rPr>
        <w:t>289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Акимов</w:t>
      </w:r>
      <w:r w:rsidR="00E31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Рустем</w:t>
      </w:r>
      <w:r w:rsidR="00E31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Аблякимович</w:t>
      </w:r>
      <w:r w:rsidR="00E31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bookmarkStart w:id="0" w:name="_GoBack"/>
      <w:bookmarkEnd w:id="0"/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411559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Отделом УФМС России по Краснодарскому краю в Темрюкском районе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E31D79">
        <w:rPr>
          <w:rFonts w:ascii="Times New Roman" w:eastAsia="Times New Roman" w:hAnsi="Times New Roman"/>
          <w:b/>
          <w:sz w:val="28"/>
          <w:szCs w:val="28"/>
        </w:rPr>
        <w:t>9400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E31D79">
        <w:rPr>
          <w:rFonts w:ascii="Times New Roman" w:eastAsia="Times New Roman" w:hAnsi="Times New Roman"/>
          <w:b/>
          <w:sz w:val="28"/>
          <w:szCs w:val="28"/>
        </w:rPr>
        <w:t>девять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625A9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31D79">
        <w:rPr>
          <w:rFonts w:ascii="Times New Roman" w:eastAsia="Times New Roman" w:hAnsi="Times New Roman"/>
          <w:color w:val="000000"/>
          <w:sz w:val="28"/>
          <w:szCs w:val="28"/>
        </w:rPr>
        <w:t>289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7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67B5">
        <w:rPr>
          <w:rFonts w:ascii="Times New Roman" w:hAnsi="Times New Roman" w:cs="Times New Roman"/>
          <w:sz w:val="28"/>
          <w:szCs w:val="28"/>
        </w:rPr>
        <w:t xml:space="preserve">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662ACF">
        <w:rPr>
          <w:rFonts w:ascii="Times New Roman" w:hAnsi="Times New Roman" w:cs="Times New Roman"/>
          <w:sz w:val="28"/>
          <w:szCs w:val="28"/>
        </w:rPr>
        <w:t>подведения</w:t>
      </w:r>
      <w:proofErr w:type="gramEnd"/>
      <w:r w:rsidR="00662ACF">
        <w:rPr>
          <w:rFonts w:ascii="Times New Roman" w:hAnsi="Times New Roman" w:cs="Times New Roman"/>
          <w:sz w:val="28"/>
          <w:szCs w:val="28"/>
        </w:rPr>
        <w:t xml:space="preserve">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Р.А. Акимов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41" w:rsidRDefault="00F94141" w:rsidP="000E2122">
      <w:pPr>
        <w:spacing w:after="0" w:line="240" w:lineRule="auto"/>
      </w:pPr>
      <w:r>
        <w:separator/>
      </w:r>
    </w:p>
  </w:endnote>
  <w:endnote w:type="continuationSeparator" w:id="0">
    <w:p w:rsidR="00F94141" w:rsidRDefault="00F9414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41" w:rsidRDefault="00F94141" w:rsidP="000E2122">
      <w:pPr>
        <w:spacing w:after="0" w:line="240" w:lineRule="auto"/>
      </w:pPr>
      <w:r>
        <w:separator/>
      </w:r>
    </w:p>
  </w:footnote>
  <w:footnote w:type="continuationSeparator" w:id="0">
    <w:p w:rsidR="00F94141" w:rsidRDefault="00F9414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5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25A9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E617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31D79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94141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452192-A08C-483F-90A5-C8A0A63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2018-04-23T10:43:00Z</cp:lastPrinted>
  <dcterms:created xsi:type="dcterms:W3CDTF">2018-04-23T13:05:00Z</dcterms:created>
  <dcterms:modified xsi:type="dcterms:W3CDTF">2018-04-24T14:01:00Z</dcterms:modified>
</cp:coreProperties>
</file>