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600" w:type="dxa"/>
        <w:jc w:val="left"/>
        <w:tblInd w:w="3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5"/>
        <w:gridCol w:w="5664"/>
      </w:tblGrid>
      <w:tr>
        <w:trPr/>
        <w:tc>
          <w:tcPr>
            <w:tcW w:w="8935" w:type="dxa"/>
            <w:tcBorders/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</w:r>
          </w:p>
        </w:tc>
        <w:tc>
          <w:tcPr>
            <w:tcW w:w="5664" w:type="dxa"/>
            <w:tcBorders/>
          </w:tcPr>
          <w:p>
            <w:pPr>
              <w:pStyle w:val="Normal"/>
              <w:widowControl w:val="false"/>
              <w:ind w:left="454" w:right="-246" w:hanging="0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Приложение</w:t>
            </w:r>
          </w:p>
          <w:p>
            <w:pPr>
              <w:pStyle w:val="Normal"/>
              <w:widowControl w:val="false"/>
              <w:ind w:left="454" w:right="-76" w:hanging="0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</w:r>
          </w:p>
          <w:p>
            <w:pPr>
              <w:pStyle w:val="Normal"/>
              <w:widowControl w:val="false"/>
              <w:ind w:left="454" w:right="-246" w:hanging="0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УТВЕРЖДЕНЫ</w:t>
            </w:r>
          </w:p>
          <w:p>
            <w:pPr>
              <w:pStyle w:val="Normal"/>
              <w:widowControl w:val="false"/>
              <w:ind w:left="454" w:right="-246" w:hanging="0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постановлением администрации муниципального образования</w:t>
            </w:r>
          </w:p>
          <w:p>
            <w:pPr>
              <w:pStyle w:val="Normal"/>
              <w:widowControl w:val="false"/>
              <w:ind w:left="454" w:right="-246" w:hanging="0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Темрюкский район</w:t>
            </w:r>
          </w:p>
          <w:p>
            <w:pPr>
              <w:pStyle w:val="Normal"/>
              <w:widowControl w:val="false"/>
              <w:ind w:left="454" w:right="-246" w:hanging="0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от _______________№ _______________</w:t>
            </w:r>
          </w:p>
          <w:p>
            <w:pPr>
              <w:pStyle w:val="Normal"/>
              <w:widowControl w:val="false"/>
              <w:ind w:right="-246" w:hanging="0"/>
              <w:jc w:val="center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</w:r>
          </w:p>
        </w:tc>
      </w:tr>
    </w:tbl>
    <w:p>
      <w:pPr>
        <w:pStyle w:val="Normal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</w:r>
    </w:p>
    <w:p>
      <w:pPr>
        <w:pStyle w:val="Normal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ИЗМЕНЕНИЯ,</w:t>
      </w:r>
    </w:p>
    <w:p>
      <w:pPr>
        <w:pStyle w:val="Normal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вносимые в постановление администрации муниципального образования Темрюкский район </w:t>
      </w:r>
    </w:p>
    <w:p>
      <w:pPr>
        <w:pStyle w:val="Normal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от 1 ноября 2021 г. № 1625 «Об утверждении муниципальной программы </w:t>
      </w:r>
    </w:p>
    <w:p>
      <w:pPr>
        <w:pStyle w:val="Normal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муниципального образования Темрюкский район </w:t>
      </w:r>
    </w:p>
    <w:p>
      <w:pPr>
        <w:pStyle w:val="Normal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«Обеспечение и развитие физической культуры и спорта»</w:t>
      </w:r>
    </w:p>
    <w:p>
      <w:pPr>
        <w:pStyle w:val="Normal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</w:r>
    </w:p>
    <w:p>
      <w:pPr>
        <w:pStyle w:val="Normal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</w:r>
    </w:p>
    <w:p>
      <w:pPr>
        <w:pStyle w:val="Normal"/>
        <w:tabs>
          <w:tab w:val="clear" w:pos="708"/>
          <w:tab w:val="left" w:pos="709" w:leader="none"/>
        </w:tabs>
        <w:spacing w:before="0" w:after="0"/>
        <w:ind w:right="142" w:hanging="0"/>
        <w:contextualSpacing/>
        <w:jc w:val="both"/>
        <w:rPr/>
      </w:pPr>
      <w:r>
        <w:rPr>
          <w:rFonts w:cs="Times New Roman"/>
          <w:color w:val="000000"/>
          <w:szCs w:val="28"/>
        </w:rPr>
        <w:tab/>
        <w:t>1. В муниципальной программе муниципального образования Темрюкский район «Обеспечение и развитие физической культуры и спорта» (далее – муниципальная программа):</w:t>
      </w:r>
    </w:p>
    <w:p>
      <w:pPr>
        <w:pStyle w:val="Normal"/>
        <w:tabs>
          <w:tab w:val="clear" w:pos="708"/>
          <w:tab w:val="left" w:pos="709" w:leader="none"/>
          <w:tab w:val="left" w:pos="1134" w:leader="none"/>
        </w:tabs>
        <w:jc w:val="both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1) позицию «Объем финансирования муниципальной программы» изложить в следующей редакции:</w:t>
      </w:r>
    </w:p>
    <w:p>
      <w:pPr>
        <w:pStyle w:val="Normal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</w:rPr>
        <w:t xml:space="preserve">   </w:t>
      </w:r>
      <w:r>
        <w:rPr>
          <w:color w:val="000000"/>
        </w:rPr>
        <w:t>«</w:t>
      </w:r>
    </w:p>
    <w:tbl>
      <w:tblPr>
        <w:tblW w:w="14800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3"/>
        <w:gridCol w:w="1267"/>
        <w:gridCol w:w="1668"/>
        <w:gridCol w:w="1557"/>
        <w:gridCol w:w="1702"/>
        <w:gridCol w:w="2042"/>
      </w:tblGrid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12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cs="Times New Roman"/>
                <w:b/>
                <w:color w:val="000000"/>
                <w:szCs w:val="28"/>
              </w:rPr>
            </w:pPr>
            <w:r>
              <w:rPr>
                <w:rFonts w:cs="Times New Roman"/>
                <w:b/>
                <w:color w:val="000000"/>
                <w:szCs w:val="28"/>
              </w:rPr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96370,2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5117,8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91252,4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112486,1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6659,2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105826,9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108859,1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106961,5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109152,0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107254,4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426867,4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15572,2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411295,2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</w:tr>
      <w:tr>
        <w:trPr/>
        <w:tc>
          <w:tcPr>
            <w:tcW w:w="14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</w:tr>
      <w:tr>
        <w:trPr/>
        <w:tc>
          <w:tcPr>
            <w:tcW w:w="14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>
      <w:pPr>
        <w:pStyle w:val="Normal"/>
        <w:tabs>
          <w:tab w:val="clear" w:pos="708"/>
          <w:tab w:val="left" w:pos="14459" w:leader="none"/>
        </w:tabs>
        <w:jc w:val="right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                                    </w:t>
      </w:r>
      <w:r>
        <w:rPr>
          <w:rFonts w:cs="Times New Roman"/>
          <w:color w:val="000000"/>
          <w:szCs w:val="28"/>
        </w:rPr>
        <w:t>»;</w:t>
      </w:r>
    </w:p>
    <w:p>
      <w:pPr>
        <w:pStyle w:val="ListParagraph"/>
        <w:ind w:left="0" w:right="0" w:firstLine="708"/>
        <w:jc w:val="both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  <w:lang w:eastAsia="ru-RU"/>
        </w:rPr>
        <w:t>2) 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>
      <w:pPr>
        <w:pStyle w:val="ConsPlusTitle"/>
        <w:numPr>
          <w:ilvl w:val="0"/>
          <w:numId w:val="0"/>
        </w:numPr>
        <w:ind w:left="0" w:hanging="0"/>
        <w:outlineLvl w:val="2"/>
        <w:rPr>
          <w:rFonts w:cs="Calibri"/>
          <w:color w:val="000000"/>
          <w:szCs w:val="28"/>
        </w:rPr>
      </w:pPr>
      <w:r>
        <w:rPr>
          <w:rFonts w:cs="Calibri"/>
          <w:color w:val="000000"/>
          <w:szCs w:val="28"/>
        </w:rPr>
      </w:r>
    </w:p>
    <w:p>
      <w:pPr>
        <w:pStyle w:val="Normal"/>
        <w:jc w:val="center"/>
        <w:rPr>
          <w:rFonts w:cs="Calibri"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ab/>
        <w:t>«ПЕРЕЧЕНЬ ОСНОВНЫХ МЕРОПРИЯТИЙ МУНИЦИПАЛЬНОЙ ПРОГРАММЫ</w:t>
      </w:r>
    </w:p>
    <w:p>
      <w:pPr>
        <w:pStyle w:val="Normal"/>
        <w:jc w:val="center"/>
        <w:rPr>
          <w:rFonts w:cs="Calibri"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>«Обеспечение и развитие физической культуры и спорта»</w:t>
      </w:r>
    </w:p>
    <w:p>
      <w:pPr>
        <w:pStyle w:val="Normal"/>
        <w:rPr>
          <w:rFonts w:cs="Calibri"/>
          <w:color w:val="000000"/>
          <w:szCs w:val="28"/>
        </w:rPr>
      </w:pPr>
      <w:r>
        <w:rPr>
          <w:rFonts w:cs="Calibri"/>
          <w:color w:val="000000"/>
          <w:szCs w:val="28"/>
        </w:rPr>
      </w:r>
    </w:p>
    <w:tbl>
      <w:tblPr>
        <w:tblW w:w="14886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2554"/>
        <w:gridCol w:w="710"/>
        <w:gridCol w:w="850"/>
        <w:gridCol w:w="1133"/>
        <w:gridCol w:w="1134"/>
        <w:gridCol w:w="1108"/>
        <w:gridCol w:w="1274"/>
        <w:gridCol w:w="884"/>
        <w:gridCol w:w="2119"/>
        <w:gridCol w:w="2240"/>
      </w:tblGrid>
      <w:tr>
        <w:trPr>
          <w:tblHeader w:val="true"/>
        </w:trPr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№</w:t>
            </w:r>
            <w:r>
              <w:rPr>
                <w:rFonts w:cs="Times New Roman" w:ascii="Times New Roman" w:hAnsi="Times New Roman"/>
                <w:color w:val="000000"/>
              </w:rPr>
              <w:br/>
              <w:t>п/п</w:t>
            </w:r>
          </w:p>
        </w:tc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Наименование мероприятия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ind w:right="113" w:hanging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 xml:space="preserve">Статус </w:t>
            </w:r>
            <w:hyperlink w:anchor="P1007">
              <w:r>
                <w:rPr>
                  <w:rStyle w:val="-"/>
                  <w:rFonts w:cs="Times New Roman" w:ascii="Times New Roman" w:hAnsi="Times New Roman"/>
                  <w:color w:val="000000"/>
                </w:rPr>
                <w:t>&lt;1&gt;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ind w:right="113" w:hanging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Годы реализации</w:t>
            </w:r>
          </w:p>
        </w:tc>
        <w:tc>
          <w:tcPr>
            <w:tcW w:w="5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Объем финансирования, тыс. рублей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ind w:right="113" w:hanging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ind w:right="113" w:hanging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Заказчик, главный распорядитель (распорядитель) бюджетных средств, исполнитель</w:t>
            </w:r>
          </w:p>
        </w:tc>
      </w:tr>
      <w:tr>
        <w:trPr/>
        <w:tc>
          <w:tcPr>
            <w:tcW w:w="8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ind w:right="113" w:hanging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всего</w:t>
            </w:r>
          </w:p>
        </w:tc>
        <w:tc>
          <w:tcPr>
            <w:tcW w:w="4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в разрезе источников финансирования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1679" w:hRule="atLeast"/>
          <w:cantSplit w:val="true"/>
        </w:trPr>
        <w:tc>
          <w:tcPr>
            <w:tcW w:w="8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ind w:right="113" w:hanging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ind w:right="113" w:hanging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краевой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ind w:right="113" w:hanging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ind w:right="113" w:hanging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</w:tbl>
    <w:p>
      <w:pPr>
        <w:pStyle w:val="Normal"/>
        <w:rPr>
          <w:rFonts w:cs="Calibri"/>
          <w:color w:val="000000"/>
          <w:szCs w:val="28"/>
        </w:rPr>
      </w:pPr>
      <w:r>
        <w:rPr>
          <w:rFonts w:cs="Calibri"/>
          <w:color w:val="000000"/>
          <w:szCs w:val="28"/>
        </w:rPr>
      </w:r>
    </w:p>
    <w:tbl>
      <w:tblPr>
        <w:tblW w:w="14886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2542"/>
        <w:gridCol w:w="710"/>
        <w:gridCol w:w="855"/>
        <w:gridCol w:w="1134"/>
        <w:gridCol w:w="6"/>
        <w:gridCol w:w="1128"/>
        <w:gridCol w:w="1112"/>
        <w:gridCol w:w="1276"/>
        <w:gridCol w:w="890"/>
        <w:gridCol w:w="2119"/>
        <w:gridCol w:w="2240"/>
      </w:tblGrid>
      <w:tr>
        <w:trPr>
          <w:tblHeader w:val="true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9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10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11</w:t>
            </w:r>
          </w:p>
        </w:tc>
      </w:tr>
      <w:tr>
        <w:trPr/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Цель 1</w:t>
            </w:r>
          </w:p>
        </w:tc>
        <w:tc>
          <w:tcPr>
            <w:tcW w:w="11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Создание доступной и качественной спортивной инфраструктуры, обеспечивающей условия для ведения здорового образа жизни и регулярных занятий физической культурой и спортом для жителей и гостей района</w:t>
            </w:r>
          </w:p>
        </w:tc>
      </w:tr>
      <w:tr>
        <w:trPr>
          <w:trHeight w:val="537" w:hRule="atLeast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eastAsia="Calibri"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Задача 1.1</w:t>
            </w:r>
          </w:p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Обеспечение и выполнение муниципальных функций в сфере физической культуры и спорта в Темрюкском районе</w:t>
            </w:r>
          </w:p>
        </w:tc>
      </w:tr>
      <w:tr>
        <w:trPr/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1.1.1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Финансовое обеспечение деятельности отдела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2107,7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2107,7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Осуществление деятельности отдела по физической культуре и спорту обеспечение выполнения функций -</w:t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100%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Администрация муниципального образования Темрюкский район (далее -администрация МО ТР),                       отдел по физической культуре и спорту</w:t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2198,3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2198,3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2259,5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2259,5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1590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2259,5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2259,5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8825,0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8825,0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1133" w:hRule="atLeast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1.2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eastAsia="Calibri"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Задача 1.2</w:t>
            </w:r>
          </w:p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функционирования муниципальных учреждений, обеспечение квалифицированными кадрами, развитие детско-юношеского спорта, развитие материально-технической базы,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</w:t>
            </w:r>
          </w:p>
        </w:tc>
      </w:tr>
      <w:tr>
        <w:trPr>
          <w:trHeight w:val="282" w:hRule="atLeast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1.2.1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Обеспечение выполнения муниципального задания на оказание муниципальных услуг муниципальным бюджетным  учреждением центром физкультурно-массовой работы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25018,7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25018,7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оказанных муниципальных услуг (шт.):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год– 11290;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год– 13400;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год– 13420;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13420.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Обеспечение выполнения муниципального задания - 100%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Администрация МО ТР,                     отдел по физической</w:t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культуре и спорту,                 МБУ ЦФМР</w:t>
            </w:r>
          </w:p>
        </w:tc>
      </w:tr>
      <w:tr>
        <w:trPr>
          <w:trHeight w:val="274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28100,9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28100,9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64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24554,3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24554,3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385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24714,5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24714,5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6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102388,4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102388,4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83" w:hRule="atLeast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1.2.2.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eastAsia="Calibri" w:cs="Times New Roman"/>
                <w:color w:val="000000"/>
                <w:szCs w:val="22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</w:rPr>
              <w:t xml:space="preserve">Обеспечение выполнения муниципального задания на оказание муниципальных услуг  </w:t>
            </w:r>
            <w:r>
              <w:rPr>
                <w:rFonts w:eastAsia="Calibri" w:cs="Times New Roman" w:ascii="Times New Roman" w:hAnsi="Times New Roman"/>
                <w:color w:val="000000"/>
              </w:rPr>
              <w:t xml:space="preserve"> м</w:t>
            </w:r>
            <w:r>
              <w:rPr>
                <w:rFonts w:cs="Times New Roman" w:ascii="Times New Roman" w:hAnsi="Times New Roman"/>
                <w:color w:val="000000"/>
              </w:rPr>
              <w:t>униципальным бюджетным учреждением дополнительного образования спортивная школа "Виктория" муниципального образования Темрюкский район</w:t>
            </w:r>
          </w:p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Cs w:val="22"/>
                <w:lang w:eastAsia="en-US"/>
              </w:rPr>
            </w:pPr>
            <w:r>
              <w:rPr>
                <w:rFonts w:eastAsia="Calibri" w:cs="Times New Roman"/>
                <w:color w:val="000000"/>
                <w:szCs w:val="22"/>
                <w:lang w:eastAsia="en-US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56748,1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56748,1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оказанных муниципальных услуг (шт.):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год– 1342;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год– 1250;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год– 1250;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1250.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Обеспечение выполнения муниципального задания - 100%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Администрация МО ТР,                отдел по физической</w:t>
            </w:r>
          </w:p>
          <w:p>
            <w:pPr>
              <w:pStyle w:val="Style32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</w:rPr>
              <w:t xml:space="preserve">культуре и спорту,                  </w:t>
            </w:r>
            <w:r>
              <w:rPr>
                <w:rFonts w:eastAsia="Calibri" w:cs="Times New Roman" w:ascii="Times New Roman" w:hAnsi="Times New Roman"/>
                <w:color w:val="000000"/>
              </w:rPr>
              <w:t>МБУ ДО СШ «Виктория»</w:t>
            </w:r>
          </w:p>
        </w:tc>
      </w:tr>
      <w:tr>
        <w:trPr>
          <w:trHeight w:val="116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67407,8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67407,8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60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67902,8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67902,8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324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68035,5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68035,5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91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260094,2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260094,2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51" w:hRule="atLeast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1.2.3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Укрепление материально-технической базы массового спорта и приобретение средств наглядной агитации, пропагандирующей здоровый образ жизни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379,6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379,6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Приобретение спортивного оборудования, инвентаря, экипировки (шт.):</w:t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 год–119;</w:t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 год – 109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color w:val="000000"/>
              </w:rPr>
              <w:t>;</w:t>
            </w:r>
          </w:p>
          <w:p>
            <w:pPr>
              <w:pStyle w:val="Style32"/>
              <w:widowControl w:val="false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2024 год– 5;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год– 5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Оснащение спортивных объектов (ед.)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1.</w:t>
            </w:r>
          </w:p>
          <w:p>
            <w:pPr>
              <w:pStyle w:val="Style32"/>
              <w:widowControl w:val="false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Приобретение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 наглядной агитации (шт.):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1;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4;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4.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Администрация МО ТР,                  отдел по физической</w:t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культуре и спорту</w:t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571,5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571,5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8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277,9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277,9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490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277,9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277,9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1506,9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1506,9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1.2.4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«Виктория»</w:t>
            </w:r>
            <w:r>
              <w:rPr>
                <w:rFonts w:eastAsia="Calibri" w:cs="Times New Roman" w:ascii="Times New Roman" w:hAnsi="Times New Roman"/>
                <w:color w:val="000000"/>
              </w:rPr>
              <w:t xml:space="preserve"> муниципального образования Темрюкский район</w:t>
            </w:r>
            <w:r>
              <w:rPr>
                <w:rFonts w:cs="Times New Roman" w:ascii="Times New Roman" w:hAnsi="Times New Roman"/>
                <w:color w:val="000000"/>
              </w:rPr>
              <w:t>, осуществляющим подготовку спортивного резерва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312,4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312,4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Число штатных работников муниципальных физкультурно-спортивных организаций отрасли «физическая культура и спорт» (чел.):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4;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4.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Администрация МО ТР,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отдел по физической культуре и спорту,                 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МБУ ДО СШ «Виктория»</w:t>
            </w:r>
          </w:p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375,0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375,0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85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375,0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375,0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730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375,0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375,0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11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1437,4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1437,4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1.2.5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1335,4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1148,4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187,0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Число штатных работников муниципальных физкультурно-спортивных организаций отрасли «физическая культура и спорт» (чел.):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10;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12;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12;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12.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Администрация МО ТР,                    отдел по физической</w:t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культуре и спорту,                     МБУ ЦФМР</w:t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1770,5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1522,6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247,9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191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1709,6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1522,6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187,0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435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1709,6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1522,6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eastAsia="Calibri" w:cs=";Times New Roman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187,0</w:t>
            </w:r>
          </w:p>
          <w:p>
            <w:pPr>
              <w:pStyle w:val="Normal"/>
              <w:widowControl w:val="false"/>
              <w:rPr>
                <w:rFonts w:eastAsia="Calibri" w:cs=";Times New Roman"/>
                <w:szCs w:val="22"/>
                <w:lang w:eastAsia="ru-RU"/>
              </w:rPr>
            </w:pPr>
            <w:r>
              <w:rPr>
                <w:rFonts w:eastAsia="Calibri" w:cs=";Times New Roman"/>
                <w:szCs w:val="22"/>
                <w:lang w:eastAsia="ru-RU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6525,1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5716,2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808,9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1700" w:hRule="atLeast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1.2.6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муниципального образования: укрепление материально-технической базы муниципальных физкультурно-спортивных учреждений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3932,3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3657,0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275,3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приобретенных автобусов для муниципальных физкультурно-спортивных учреждений (ед.):                      2022 год – 1;</w:t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 год – 1.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Администрация МО ТР,</w:t>
            </w:r>
          </w:p>
          <w:p>
            <w:pPr>
              <w:pStyle w:val="Style32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</w:rPr>
              <w:t xml:space="preserve">отдел по физической культуре и спорту,                   </w:t>
            </w:r>
            <w:r>
              <w:rPr>
                <w:rFonts w:eastAsia="Calibri" w:cs="Times New Roman" w:ascii="Times New Roman" w:hAnsi="Times New Roman"/>
                <w:color w:val="000000"/>
              </w:rPr>
              <w:t>МБУ ДО СШ «Виктория»</w:t>
            </w:r>
            <w:r>
              <w:rPr>
                <w:rFonts w:cs="Times New Roman" w:ascii="Times New Roman" w:hAnsi="Times New Roman"/>
                <w:color w:val="000000"/>
              </w:rPr>
              <w:t>,</w:t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МБУ ЦФМР</w:t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5120,0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4761,6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358,4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828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73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9052,3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8418,6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633,7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78" w:hRule="atLeast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1.2.7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муниципального образования, участие в обеспечении подготовки спортивного резерва для спортивных сборных команд Краснодарского края, в том числе на приобретение спортивно-технического оборудования для выхода на воду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1657,2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1657,2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технического оборудования для выхода на воду (шт.):</w:t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 год -  1.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Администрация МО ТР,</w:t>
            </w:r>
          </w:p>
          <w:p>
            <w:pPr>
              <w:pStyle w:val="Style32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</w:rPr>
              <w:t xml:space="preserve">отдел по физической культуре и спорту, </w:t>
            </w:r>
            <w:r>
              <w:rPr>
                <w:rFonts w:eastAsia="Calibri" w:cs="Times New Roman" w:ascii="Times New Roman" w:hAnsi="Times New Roman"/>
                <w:color w:val="000000"/>
              </w:rPr>
              <w:t>МБУ ДО СШ «Виктория»</w:t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4328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627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1657,2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1657,2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1.2.8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Капитальный и текущий ремонт муниципальных физкультурно-спортивных учреждений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муниципальных физкультурно-спортивных учреждений, в которых произведен капитальный и текущий ремонт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(шт.):</w:t>
            </w:r>
          </w:p>
          <w:p>
            <w:pPr>
              <w:pStyle w:val="Normal"/>
              <w:widowControl w:val="false"/>
              <w:jc w:val="center"/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1.</w:t>
            </w:r>
          </w:p>
          <w:p>
            <w:pPr>
              <w:pStyle w:val="Normal"/>
              <w:widowControl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Администрация МО ТР,</w:t>
            </w:r>
          </w:p>
          <w:p>
            <w:pPr>
              <w:pStyle w:val="Style32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</w:rPr>
              <w:t xml:space="preserve">отдел по физической культуре и спорту,                   </w:t>
            </w:r>
            <w:r>
              <w:rPr>
                <w:rFonts w:eastAsia="Calibri" w:cs="Times New Roman" w:ascii="Times New Roman" w:hAnsi="Times New Roman"/>
                <w:color w:val="000000"/>
              </w:rPr>
              <w:t>МБУ ДО СШ «Виктория»</w:t>
            </w:r>
            <w:r>
              <w:rPr>
                <w:rFonts w:cs="Times New Roman" w:ascii="Times New Roman" w:hAnsi="Times New Roman"/>
                <w:color w:val="000000"/>
              </w:rPr>
              <w:t>,</w:t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МБУ ЦФМР</w:t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996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20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всего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1.3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Задача 1.3</w:t>
            </w:r>
          </w:p>
        </w:tc>
        <w:tc>
          <w:tcPr>
            <w:tcW w:w="11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Создание условий для регулярных занятий физической культурой и спортом для широких слоев населения, популяризация здорового образа жизни, физической культуры и массовых видов спорта</w:t>
            </w:r>
          </w:p>
        </w:tc>
      </w:tr>
      <w:tr>
        <w:trPr/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1.3.1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Организация и проведение районных спортивно-массовых мероприятий для широких слоев населения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547,1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547,1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Организация и проведение районных мероприятий (ед.):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50;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49;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50;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50.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Численность населения, принявшая участие в районных соревнованиях (чел.):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4080;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4100;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4100;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4100.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Администрация МО ТР,                   отдел по физической</w:t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культуре и спорту</w:t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1175,5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1175,5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125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1200,0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1005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1200,0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4122,6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4122,6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1.3.2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Участие сборных команд Темрюкского района по культивируемым видам спорта в краевых, всероссийских и международных соревнованиях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1903,2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1903,2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сборных команд по культивируемым видам спорта, участвующих в мероприятиях краевого, всероссийского, международного уровня (шт.):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47;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50;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2025 год – 50.  </w:t>
            </w:r>
            <w:r>
              <w:rPr>
                <w:rFonts w:cs="Times New Roman"/>
                <w:color w:val="000000"/>
                <w:sz w:val="24"/>
                <w:szCs w:val="24"/>
              </w:rPr>
              <w:t>Численность населения, принявшая участие по культивируемым видам спорта в краевых, всероссийских и международных соревнованиях (чел.):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                     2022 год – 469;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500;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500;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500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Администрация МО ТР,                       отдел по физической</w:t>
            </w:r>
          </w:p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культуре и спорту</w:t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2640,0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2640,0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30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4918,2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4918,2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1575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4918,2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4918,2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14379,6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14379,6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1.3.3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Участие сборных команд сельских поселений в районных соревнованиях в соответствии с переданными полномочиями по организации физкультурно-спортивной работы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28,5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сборных команд сельских поселений, участвующих в мероприятиях районного уровня (шт.)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21;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12;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12;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12.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Администрация МО ТР,                   отдел по физической</w:t>
            </w:r>
          </w:p>
          <w:p>
            <w:pPr>
              <w:pStyle w:val="Style32"/>
              <w:widowControl w:val="false"/>
              <w:ind w:left="-103" w:firstLine="10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культуре и спорту,                     МБУ ЦФМР, Запорожское, Сенное, Краснострельское, Голубицкое сельские поселения Темрюкского района</w:t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173,7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173,7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15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161,8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161,8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432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161,8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161,8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87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525,8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525,8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1.3.4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Участие спортсменов и сборных команд муниципального бюджетного учреждения дополнительного образования спортивная школа «Виктория» муниципального образования Темрюкский район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1200,0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сборных команд учреждения, 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40;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51; 2024 год – 51;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51.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Администрация МО ТР,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22" w:leader="none"/>
              </w:tabs>
              <w:suppressAutoHyphens w:val="false"/>
              <w:ind w:left="39" w:right="0" w:hanging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МБУ ДО СШ «Виктория»</w:t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1400,0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1400,0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30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955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8100,00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8100,00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282" w:hRule="atLeast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1.3.5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Участие сборных команд муниципального бюджетного учреждения дополнительного образования «Детско-юношеская спортивная школа»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1200,0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сборных команд учреждения, 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48;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55; 2024 год – 55;</w:t>
            </w:r>
          </w:p>
          <w:p>
            <w:pPr>
              <w:pStyle w:val="Normal"/>
              <w:widowControl w:val="false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55.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Администрация МО ТР, управление </w:t>
            </w:r>
            <w:r>
              <w:rPr>
                <w:rFonts w:cs="Times New Roman"/>
                <w:color w:val="000000"/>
                <w:sz w:val="24"/>
                <w:szCs w:val="24"/>
              </w:rPr>
              <w:t>образованием</w:t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1400,0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1400,0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109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1560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2750,0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35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8100,0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8100,0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Итого по муниципальной программе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96370,2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91252,4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х</w:t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112486,1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105826,9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108859,1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106961,5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109152,0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107254,4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11" w:hRule="atLeast"/>
        </w:trPr>
        <w:tc>
          <w:tcPr>
            <w:tcW w:w="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426867,4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15572,2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411295,2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0,0</w:t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/>
        <w:tc>
          <w:tcPr>
            <w:tcW w:w="148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__________________________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&lt;1&gt; Отмечаются мероприятия программы в следующих случаях: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если мероприятие является мероприятием муниципальных проектов присваивается статус «4».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Допускается присваивание нескольких статусов одному мероприятию через дробь.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color w:val="000000"/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>
      <w:pPr>
        <w:pStyle w:val="Normal"/>
        <w:widowControl/>
        <w:suppressAutoHyphens w:val="true"/>
        <w:bidi w:val="0"/>
        <w:spacing w:before="0" w:after="0"/>
        <w:ind w:left="0" w:right="-57" w:hanging="0"/>
        <w:jc w:val="right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/>
          <w:color w:val="000000"/>
          <w:szCs w:val="28"/>
        </w:rPr>
        <w:t>».</w:t>
      </w:r>
    </w:p>
    <w:p>
      <w:pPr>
        <w:pStyle w:val="Normal"/>
        <w:rPr>
          <w:rFonts w:cs="Calibri"/>
          <w:color w:val="000000"/>
          <w:szCs w:val="28"/>
        </w:rPr>
      </w:pPr>
      <w:r>
        <w:rPr>
          <w:rFonts w:cs="Calibri"/>
          <w:color w:val="000000"/>
          <w:szCs w:val="28"/>
        </w:rPr>
      </w:r>
    </w:p>
    <w:p>
      <w:pPr>
        <w:pStyle w:val="Normal"/>
        <w:rPr>
          <w:rFonts w:cs="Calibri"/>
          <w:color w:val="000000"/>
          <w:szCs w:val="28"/>
        </w:rPr>
      </w:pPr>
      <w:r>
        <w:rPr>
          <w:rFonts w:cs="Calibri"/>
          <w:color w:val="000000"/>
          <w:szCs w:val="28"/>
        </w:rPr>
      </w:r>
    </w:p>
    <w:p>
      <w:pPr>
        <w:pStyle w:val="Normal"/>
        <w:rPr>
          <w:rFonts w:cs="Calibri"/>
          <w:color w:val="000000"/>
          <w:szCs w:val="28"/>
        </w:rPr>
      </w:pPr>
      <w:r>
        <w:rPr>
          <w:rFonts w:cs="Times New Roman"/>
          <w:color w:val="000000"/>
          <w:szCs w:val="28"/>
        </w:rPr>
        <w:t>Заместитель главы</w:t>
      </w:r>
    </w:p>
    <w:p>
      <w:pPr>
        <w:pStyle w:val="Normal"/>
        <w:rPr>
          <w:rFonts w:cs="Calibri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муниципального образования </w:t>
      </w:r>
    </w:p>
    <w:p>
      <w:pPr>
        <w:pStyle w:val="Normal"/>
        <w:rPr>
          <w:rFonts w:cs="Calibri"/>
          <w:color w:val="000000"/>
          <w:szCs w:val="28"/>
        </w:rPr>
      </w:pPr>
      <w:r>
        <w:rPr>
          <w:rFonts w:cs="Times New Roman"/>
          <w:color w:val="000000"/>
          <w:szCs w:val="28"/>
        </w:rPr>
        <w:t>Темрюкский район                                                                                                                                                                И.И. Костюк</w:t>
      </w:r>
    </w:p>
    <w:sectPr>
      <w:headerReference w:type="default" r:id="rId2"/>
      <w:headerReference w:type="first" r:id="rId3"/>
      <w:type w:val="nextPage"/>
      <w:pgSz w:orient="landscape" w:w="16838" w:h="11906"/>
      <w:pgMar w:left="1134" w:right="678" w:gutter="0" w:header="709" w:top="1701" w:footer="0" w:bottom="567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tabs>
        <w:tab w:val="clear" w:pos="4677"/>
        <w:tab w:val="clear" w:pos="9355"/>
        <w:tab w:val="left" w:pos="10500" w:leader="none"/>
      </w:tabs>
      <w:jc w:val="center"/>
      <w:rPr/>
    </w:pPr>
    <w:r>
      <w:rPr/>
      <mc:AlternateContent>
        <mc:Choice Requires="wps">
          <w:drawing>
            <wp:anchor behindDoc="1" distT="0" distB="0" distL="635" distR="0" simplePos="0" locked="0" layoutInCell="0" allowOverlap="1" relativeHeight="12">
              <wp:simplePos x="0" y="0"/>
              <wp:positionH relativeFrom="page">
                <wp:posOffset>-20807680</wp:posOffset>
              </wp:positionH>
              <wp:positionV relativeFrom="page">
                <wp:posOffset>-20807680</wp:posOffset>
              </wp:positionV>
              <wp:extent cx="2326005" cy="4351020"/>
              <wp:effectExtent l="635" t="0" r="0" b="0"/>
              <wp:wrapNone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25960" cy="4350960"/>
                      </a:xfrm>
                      <a:custGeom>
                        <a:avLst/>
                        <a:gdLst>
                          <a:gd name="textAreaLeft" fmla="*/ 0 w 1318680"/>
                          <a:gd name="textAreaRight" fmla="*/ 1319400 w 1318680"/>
                          <a:gd name="textAreaTop" fmla="*/ 0 h 2466720"/>
                          <a:gd name="textAreaBottom" fmla="*/ 2467440 h 2466720"/>
                        </a:gdLst>
                        <a:ahLst/>
                        <a:rect l="textAreaLeft" t="textAreaTop" r="textAreaRight" b="textAreaBottom"/>
                        <a:pathLst>
                          <a:path w="6462" h="12087">
                            <a:moveTo>
                              <a:pt x="0" y="12086"/>
                            </a:moveTo>
                            <a:lnTo>
                              <a:pt x="0" y="0"/>
                            </a:lnTo>
                            <a:lnTo>
                              <a:pt x="0" y="12086"/>
                            </a:lnTo>
                            <a:lnTo>
                              <a:pt x="6461" y="12086"/>
                            </a:lnTo>
                            <a:lnTo>
                              <a:pt x="6461" y="0"/>
                            </a:lnTo>
                          </a:path>
                        </a:pathLst>
                      </a:cu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32">
              <wp:simplePos x="0" y="0"/>
              <wp:positionH relativeFrom="column">
                <wp:posOffset>9413875</wp:posOffset>
              </wp:positionH>
              <wp:positionV relativeFrom="paragraph">
                <wp:posOffset>3088640</wp:posOffset>
              </wp:positionV>
              <wp:extent cx="551180" cy="414020"/>
              <wp:effectExtent l="0" t="0" r="0" b="0"/>
              <wp:wrapNone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1160" cy="41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5"/>
                            <w:spacing w:before="120" w:after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  <w:p>
                          <w:pPr>
                            <w:pStyle w:val="Style35"/>
                            <w:spacing w:before="120" w:after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92160" rIns="92160" tIns="46440" bIns="46440" anchor="t" vert="eaVer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741.25pt;margin-top:243.2pt;width:43.35pt;height:32.55pt;mso-wrap-style:square;v-text-anchor:top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Style35"/>
                      <w:spacing w:before="12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  <w:p>
                    <w:pPr>
                      <w:pStyle w:val="Style35"/>
                      <w:spacing w:before="12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;Times New Roman"/>
      <w:color w:val="auto"/>
      <w:kern w:val="0"/>
      <w:sz w:val="28"/>
      <w:szCs w:val="22"/>
      <w:lang w:val="ru-RU" w:eastAsia="zh-CN" w:bidi="ar-SA"/>
    </w:rPr>
  </w:style>
  <w:style w:type="character" w:styleId="WW8Num1z0">
    <w:name w:val="WW8Num1z0"/>
    <w:qFormat/>
    <w:rPr>
      <w:rFonts w:eastAsia="Times New Roman"/>
      <w:color w:val="000000"/>
      <w:sz w:val="24"/>
    </w:rPr>
  </w:style>
  <w:style w:type="character" w:styleId="Style14">
    <w:name w:val="Основной шрифт абзаца"/>
    <w:qFormat/>
    <w:rPr/>
  </w:style>
  <w:style w:type="character" w:styleId="1">
    <w:name w:val="Основной шрифт абзаца1"/>
    <w:qFormat/>
    <w:rPr/>
  </w:style>
  <w:style w:type="character" w:styleId="DefaultParagraphFont">
    <w:name w:val="Default Paragraph Font"/>
    <w:qFormat/>
    <w:rPr/>
  </w:style>
  <w:style w:type="character" w:styleId="Style15">
    <w:name w:val="Верхний колонтитул Знак"/>
    <w:qFormat/>
    <w:rPr>
      <w:rFonts w:ascii="Times New Roman" w:hAnsi="Times New Roman" w:cs="Times New Roman"/>
      <w:sz w:val="28"/>
    </w:rPr>
  </w:style>
  <w:style w:type="character" w:styleId="Style16">
    <w:name w:val="Нижний колонтитул Знак"/>
    <w:qFormat/>
    <w:rPr>
      <w:rFonts w:ascii="Times New Roman" w:hAnsi="Times New Roman" w:cs="Times New Roman"/>
      <w:sz w:val="28"/>
    </w:rPr>
  </w:style>
  <w:style w:type="character" w:styleId="Style17">
    <w:name w:val="Текст Знак"/>
    <w:qFormat/>
    <w:rPr>
      <w:rFonts w:ascii="Courier New" w:hAnsi="Courier New" w:eastAsia="Times New Roman" w:cs="Times New Roman"/>
      <w:sz w:val="20"/>
      <w:szCs w:val="20"/>
    </w:rPr>
  </w:style>
  <w:style w:type="character" w:styleId="3">
    <w:name w:val="Основной текст 3 Знак"/>
    <w:qFormat/>
    <w:rPr>
      <w:rFonts w:ascii="Times New Roman" w:hAnsi="Times New Roman" w:eastAsia="Times New Roman" w:cs="Times New Roman"/>
      <w:b/>
      <w:sz w:val="28"/>
      <w:szCs w:val="20"/>
    </w:rPr>
  </w:style>
  <w:style w:type="character" w:styleId="11">
    <w:name w:val="Основной текст Знак1"/>
    <w:qFormat/>
    <w:rPr>
      <w:rFonts w:ascii="Times New Roman" w:hAnsi="Times New Roman" w:cs="Times New Roman"/>
      <w:sz w:val="27"/>
      <w:szCs w:val="27"/>
      <w:shd w:fill="FFFFFF" w:val="clear"/>
    </w:rPr>
  </w:style>
  <w:style w:type="character" w:styleId="Style18">
    <w:name w:val="Текст выноски Знак"/>
    <w:qFormat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qFormat/>
    <w:rPr/>
  </w:style>
  <w:style w:type="character" w:styleId="Style19">
    <w:name w:val="Гипертекстовая ссылка"/>
    <w:qFormat/>
    <w:rPr>
      <w:color w:val="106BBE"/>
    </w:rPr>
  </w:style>
  <w:style w:type="character" w:styleId="Style20">
    <w:name w:val="Активная гипертекстовая ссылка"/>
    <w:qFormat/>
    <w:rPr>
      <w:color w:val="106BBE"/>
      <w:u w:val="single"/>
    </w:rPr>
  </w:style>
  <w:style w:type="character" w:styleId="Style21">
    <w:name w:val="Основной текст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1pt">
    <w:name w:val="Основной текст + 11 pt"/>
    <w:qFormat/>
    <w:rPr>
      <w:rFonts w:ascii="Times New Roman" w:hAnsi="Times New Roman" w:eastAsia="Times New Roman" w:cs="Times New Roman"/>
      <w:color w:val="000000"/>
      <w:spacing w:val="0"/>
      <w:w w:val="100"/>
      <w:sz w:val="22"/>
      <w:szCs w:val="22"/>
      <w:shd w:fill="FFFFFF" w:val="clear"/>
      <w:lang w:val="ru-RU" w:bidi="ru-RU"/>
    </w:rPr>
  </w:style>
  <w:style w:type="character" w:styleId="12">
    <w:name w:val="Гиперссылка1"/>
    <w:qFormat/>
    <w:rPr>
      <w:color w:val="000080"/>
      <w:u w:val="single"/>
    </w:rPr>
  </w:style>
  <w:style w:type="character" w:styleId="13">
    <w:name w:val="Верхний колонтитул Знак1"/>
    <w:qFormat/>
    <w:rPr>
      <w:rFonts w:ascii="Times New Roman" w:hAnsi="Times New Roman" w:cs="Times New Roman"/>
      <w:sz w:val="28"/>
    </w:rPr>
  </w:style>
  <w:style w:type="character" w:styleId="14">
    <w:name w:val="Нижний колонтитул Знак1"/>
    <w:qFormat/>
    <w:rPr>
      <w:rFonts w:ascii="Times New Roman" w:hAnsi="Times New Roman" w:cs="Times New Roman"/>
      <w:sz w:val="28"/>
    </w:rPr>
  </w:style>
  <w:style w:type="character" w:styleId="-">
    <w:name w:val="Hyperlink"/>
    <w:rPr>
      <w:color w:val="000080"/>
      <w:u w:val="single"/>
    </w:rPr>
  </w:style>
  <w:style w:type="character" w:styleId="2">
    <w:name w:val="Верхний колонтитул Знак2"/>
    <w:qFormat/>
    <w:rPr>
      <w:rFonts w:ascii="Times New Roman" w:hAnsi="Times New Roman" w:cs="Times New Roman"/>
      <w:sz w:val="28"/>
    </w:rPr>
  </w:style>
  <w:style w:type="character" w:styleId="21">
    <w:name w:val="Нижний колонтитул Знак2"/>
    <w:qFormat/>
    <w:rPr>
      <w:rFonts w:ascii="Times New Roman" w:hAnsi="Times New Roman" w:cs="Times New Roman"/>
      <w:sz w:val="28"/>
    </w:rPr>
  </w:style>
  <w:style w:type="character" w:styleId="15">
    <w:name w:val="Текст выноски Знак1"/>
    <w:qFormat/>
    <w:rPr>
      <w:rFonts w:ascii="Segoe UI" w:hAnsi="Segoe UI" w:eastAsia="Calibri" w:cs="Segoe UI"/>
      <w:sz w:val="18"/>
      <w:szCs w:val="18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Cs w:val="28"/>
    </w:rPr>
  </w:style>
  <w:style w:type="paragraph" w:styleId="Style23">
    <w:name w:val="Body Text"/>
    <w:basedOn w:val="Normal"/>
    <w:pPr>
      <w:spacing w:before="0" w:after="120"/>
    </w:pPr>
    <w:rPr>
      <w:rFonts w:eastAsia="Times New Roman" w:cs="Times New Roman"/>
      <w:sz w:val="24"/>
      <w:szCs w:val="24"/>
    </w:rPr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Arial"/>
    </w:rPr>
  </w:style>
  <w:style w:type="paragraph" w:styleId="Style27">
    <w:name w:val="Название объекта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2">
    <w:name w:val="Указатель2"/>
    <w:basedOn w:val="Normal"/>
    <w:qFormat/>
    <w:pPr>
      <w:suppressLineNumbers/>
    </w:pPr>
    <w:rPr>
      <w:rFonts w:cs="Arial"/>
    </w:rPr>
  </w:style>
  <w:style w:type="paragraph" w:styleId="16">
    <w:name w:val="Заголовок1"/>
    <w:basedOn w:val="Normal"/>
    <w:next w:val="Style23"/>
    <w:qFormat/>
    <w:pPr>
      <w:keepNext w:val="true"/>
      <w:spacing w:before="240" w:after="120"/>
    </w:pPr>
    <w:rPr>
      <w:rFonts w:ascii="Liberation Sans;Arial" w:hAnsi="Liberation Sans;Arial" w:eastAsia="Microsoft YaHei" w:cs="Arial"/>
      <w:szCs w:val="28"/>
    </w:rPr>
  </w:style>
  <w:style w:type="paragraph" w:styleId="17">
    <w:name w:val="Название объекта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8">
    <w:name w:val="Указатель1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Style28">
    <w:name w:val="Верхний и нижний колонтитулы"/>
    <w:basedOn w:val="Normal"/>
    <w:qFormat/>
    <w:pPr/>
    <w:rPr/>
  </w:style>
  <w:style w:type="paragraph" w:styleId="Style29">
    <w:name w:val="Колонтитул"/>
    <w:basedOn w:val="Normal"/>
    <w:qFormat/>
    <w:pPr/>
    <w:rPr/>
  </w:style>
  <w:style w:type="paragraph" w:styleId="Style30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PlainText">
    <w:name w:val="Plain Text"/>
    <w:basedOn w:val="Normal"/>
    <w:qFormat/>
    <w:pPr/>
    <w:rPr>
      <w:rFonts w:ascii="Courier New" w:hAnsi="Courier New" w:eastAsia="Times New Roman" w:cs="Times New Roman"/>
      <w:sz w:val="20"/>
      <w:szCs w:val="20"/>
    </w:rPr>
  </w:style>
  <w:style w:type="paragraph" w:styleId="BodyText3">
    <w:name w:val="Body Text 3"/>
    <w:basedOn w:val="Normal"/>
    <w:qFormat/>
    <w:pPr>
      <w:jc w:val="both"/>
    </w:pPr>
    <w:rPr>
      <w:rFonts w:eastAsia="Times New Roman" w:cs="Times New Roman"/>
      <w:b/>
      <w:szCs w:val="20"/>
    </w:rPr>
  </w:style>
  <w:style w:type="paragraph" w:styleId="Style32">
    <w:name w:val="Нормальный (таблица)"/>
    <w:basedOn w:val="Normal"/>
    <w:next w:val="Normal"/>
    <w:qFormat/>
    <w:pPr>
      <w:widowControl w:val="false"/>
      <w:jc w:val="both"/>
    </w:pPr>
    <w:rPr>
      <w:rFonts w:ascii="Arial" w:hAnsi="Arial" w:eastAsia="Times New Roman" w:cs="Arial"/>
      <w:sz w:val="24"/>
      <w:szCs w:val="24"/>
    </w:rPr>
  </w:style>
  <w:style w:type="paragraph" w:styleId="Style33">
    <w:name w:val="Прижатый влево"/>
    <w:basedOn w:val="Normal"/>
    <w:next w:val="Normal"/>
    <w:qFormat/>
    <w:pPr>
      <w:widowControl w:val="false"/>
    </w:pPr>
    <w:rPr>
      <w:rFonts w:ascii="Arial" w:hAnsi="Arial" w:eastAsia="Times New Roman" w:cs="Arial"/>
      <w:sz w:val="24"/>
      <w:szCs w:val="24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zh-CN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nsplusnormal">
    <w:name w:val="consplusnormal"/>
    <w:basedOn w:val="Normal"/>
    <w:qFormat/>
    <w:pPr>
      <w:spacing w:before="280" w:after="280"/>
    </w:pPr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 w:cs="Times New Roman"/>
      <w:sz w:val="24"/>
      <w:szCs w:val="24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b/>
      <w:color w:val="auto"/>
      <w:kern w:val="0"/>
      <w:sz w:val="22"/>
      <w:szCs w:val="20"/>
      <w:lang w:val="ru-RU" w:eastAsia="zh-CN" w:bidi="ar-SA"/>
    </w:rPr>
  </w:style>
  <w:style w:type="paragraph" w:styleId="ConsPlusNormal1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zh-CN" w:bidi="ar-SA"/>
    </w:rPr>
  </w:style>
  <w:style w:type="paragraph" w:styleId="Style34">
    <w:name w:val="Текст (справка)"/>
    <w:basedOn w:val="Normal"/>
    <w:next w:val="Normal"/>
    <w:qFormat/>
    <w:pPr>
      <w:widowControl w:val="false"/>
      <w:ind w:left="170" w:right="170" w:hanging="0"/>
    </w:pPr>
    <w:rPr>
      <w:rFonts w:ascii="Arial" w:hAnsi="Arial" w:eastAsia="Times New Roman" w:cs="Arial"/>
      <w:sz w:val="24"/>
      <w:szCs w:val="24"/>
    </w:rPr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Segoe UI" w:hAnsi="Segoe UI" w:cs="Segoe UI"/>
      <w:sz w:val="18"/>
      <w:szCs w:val="18"/>
    </w:rPr>
  </w:style>
  <w:style w:type="paragraph" w:styleId="Style37">
    <w:name w:val="Содержимое таблицы"/>
    <w:basedOn w:val="Normal"/>
    <w:qFormat/>
    <w:pPr>
      <w:widowControl w:val="false"/>
      <w:suppressLineNumbers/>
    </w:pPr>
    <w:rPr/>
  </w:style>
  <w:style w:type="paragraph" w:styleId="Style38">
    <w:name w:val="Заголовок таблицы"/>
    <w:basedOn w:val="Style37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108</TotalTime>
  <Application>LibreOffice/7.5.1.2$Windows_X86_64 LibreOffice_project/fcbaee479e84c6cd81291587d2ee68cba099e129</Application>
  <AppVersion>15.0000</AppVersion>
  <Pages>12</Pages>
  <Words>1812</Words>
  <Characters>11238</Characters>
  <CharactersWithSpaces>13113</CharactersWithSpaces>
  <Paragraphs>778</Paragraphs>
  <Company>SPecialiST RePack_x005F_x0000__x005F_x0000_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2022-10-24T12:45:00Z</dcterms:created>
  <dc:creator>Akanova Anna Igorevna</dc:creator>
  <dc:description/>
  <dc:language>ru-RU</dc:language>
  <cp:lastModifiedBy/>
  <cp:lastPrinted>2023-05-12T10:50:54Z</cp:lastPrinted>
  <dcterms:modified xsi:type="dcterms:W3CDTF">2023-05-12T10:51:40Z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